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宋体" w:hAnsi="宋体" w:cs="宋体" w:eastAsia="宋体"/>
          <w:color w:val="333333"/>
          <w:spacing w:val="0"/>
          <w:position w:val="0"/>
          <w:sz w:val="44"/>
          <w:shd w:fill="FFFFFF" w:val="clear"/>
        </w:rPr>
      </w:pPr>
      <w:r>
        <w:rPr>
          <w:rFonts w:ascii="黑体" w:hAnsi="黑体" w:cs="黑体" w:eastAsia="黑体"/>
          <w:b/>
          <w:color w:val="333333"/>
          <w:spacing w:val="0"/>
          <w:position w:val="0"/>
          <w:sz w:val="44"/>
          <w:shd w:fill="FFFFFF" w:val="clear"/>
        </w:rPr>
        <w:t xml:space="preserve">县民政局2022年政府信息公开工作年度报告</w:t>
      </w:r>
    </w:p>
    <w:p>
      <w:pPr>
        <w:widowControl w:val="false"/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333333"/>
          <w:spacing w:val="0"/>
          <w:position w:val="0"/>
          <w:sz w:val="32"/>
          <w:shd w:fill="FFFFFF" w:val="clear"/>
        </w:rPr>
      </w:pPr>
    </w:p>
    <w:p>
      <w:pPr>
        <w:widowControl w:val="false"/>
        <w:spacing w:before="0" w:after="0" w:line="240"/>
        <w:ind w:right="0" w:left="0" w:firstLine="640"/>
        <w:jc w:val="left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000000" w:val="clear"/>
        </w:rPr>
        <w:t xml:space="preserve">县民政局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000000" w:val="clear"/>
        </w:rPr>
        <w:t xml:space="preserve">宜丰县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人民政府网站（http://www.jxyf.gov.cn）下载。如对本报告有任何疑问，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请与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000000" w:val="clear"/>
        </w:rPr>
        <w:t xml:space="preserve">县民政局联系（地址：城北路203号，电话0795-2788301，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邮编：336300）。</w:t>
      </w:r>
    </w:p>
    <w:p>
      <w:pPr>
        <w:widowControl w:val="false"/>
        <w:spacing w:before="0" w:after="0" w:line="240"/>
        <w:ind w:right="0" w:left="420" w:firstLine="320"/>
        <w:jc w:val="both"/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  <w:t xml:space="preserve">一、总体情况</w:t>
      </w:r>
    </w:p>
    <w:p>
      <w:pPr>
        <w:widowControl w:val="false"/>
        <w:spacing w:before="0" w:after="0" w:line="240"/>
        <w:ind w:right="0" w:left="0" w:firstLine="640"/>
        <w:jc w:val="both"/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2022年县民政局坚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县委、县政府工作及社会群众关注关切，加强政策发布的力度和时效，持续提升公开质量，取得积极成效。2022年在宜丰县政府网信息公开平台公开政府信息共计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000000" w:val="clear"/>
        </w:rPr>
        <w:t xml:space="preserve">147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条。</w:t>
      </w:r>
    </w:p>
    <w:p>
      <w:pPr>
        <w:widowControl w:val="false"/>
        <w:spacing w:before="0" w:after="0" w:line="590"/>
        <w:ind w:right="0" w:left="0" w:firstLine="643"/>
        <w:jc w:val="both"/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  <w:t xml:space="preserve">（一）主动公开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认真落实主动公开要求，分发挥政务公开的重要信息宣传、发布，加大重点领域政务信息公开，明确了民政信息公开的内容、时限要求等内容。主动公开民政政策文件5条、政策解读稿件发布3条。积极推动决策过程公开，在文件制定过程中积极征求相关部门、服务对象和各界群众的意见和建议。做好人大建议、政协提案办理。2022年，我局共办理人大建议2件、政协提案5件，均在规定时限内给予答复和公开，办结率和满意率均达到100%。</w:t>
      </w:r>
    </w:p>
    <w:p>
      <w:pPr>
        <w:widowControl w:val="false"/>
        <w:spacing w:before="0" w:after="0" w:line="590"/>
        <w:ind w:right="0" w:left="0" w:firstLine="643"/>
        <w:jc w:val="both"/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  <w:t xml:space="preserve">（二）依申请公开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楷体" w:hAnsi="楷体" w:cs="楷体" w:eastAsia="楷体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认真落实依申请公开规定，加强数据分析研判，加强依申请公开学习，规范《答复示范文本》，全年未收到依申请公开事项。</w:t>
      </w:r>
    </w:p>
    <w:p>
      <w:pPr>
        <w:widowControl w:val="false"/>
        <w:spacing w:before="0" w:after="0" w:line="590"/>
        <w:ind w:right="0" w:left="0" w:firstLine="643"/>
        <w:jc w:val="both"/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  <w:t xml:space="preserve">（三）政府信息管理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加强政府信息管理。加强公文信息审核把关，规范信息发布要素，做好规范性文件审核备案，加强政务公开信息、积极开展政策解读工作，持续加大政策宣传力度，提高群众的知晓率、满意率。</w:t>
      </w:r>
    </w:p>
    <w:p>
      <w:pPr>
        <w:widowControl w:val="false"/>
        <w:spacing w:before="0" w:after="0" w:line="590"/>
        <w:ind w:right="0" w:left="0" w:firstLine="643"/>
        <w:jc w:val="both"/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  <w:t xml:space="preserve">(四）平台建设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加强政务信息平台建设，紧扣群众关心关注的热点，认真做好政务公开管理维护，保证政务信息得到及时有效公开。</w:t>
      </w:r>
    </w:p>
    <w:p>
      <w:pPr>
        <w:widowControl w:val="false"/>
        <w:spacing w:before="0" w:after="0" w:line="590"/>
        <w:ind w:right="0" w:left="0" w:firstLine="643"/>
        <w:jc w:val="both"/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楷体" w:hAnsi="楷体" w:cs="楷体" w:eastAsia="楷体"/>
          <w:b/>
          <w:color w:val="333333"/>
          <w:spacing w:val="0"/>
          <w:position w:val="0"/>
          <w:sz w:val="32"/>
          <w:shd w:fill="FFFFFF" w:val="clear"/>
        </w:rPr>
        <w:t xml:space="preserve">（五)、监督保障</w:t>
      </w:r>
    </w:p>
    <w:p>
      <w:pPr>
        <w:spacing w:before="0" w:after="0" w:line="54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根据健全政府公开工作机制，明确职责分工，进一步规范信息分开工作积极组织人员参加政务公开培训，及时传达省、市、县政府公开工作部署要求。</w:t>
      </w:r>
    </w:p>
    <w:p>
      <w:pPr>
        <w:spacing w:before="0" w:after="0" w:line="540"/>
        <w:ind w:right="0" w:left="0" w:firstLine="64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二、主动公开政府信息情况</w:t>
      </w:r>
    </w:p>
    <w:tbl>
      <w:tblPr/>
      <w:tblGrid>
        <w:gridCol w:w="2409"/>
        <w:gridCol w:w="1755"/>
        <w:gridCol w:w="2625"/>
        <w:gridCol w:w="2940"/>
      </w:tblGrid>
      <w:tr>
        <w:trPr>
          <w:trHeight w:val="1" w:hRule="atLeast"/>
          <w:jc w:val="left"/>
        </w:trPr>
        <w:tc>
          <w:tcPr>
            <w:tcW w:w="97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第二十条第（一）项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信息内容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本年制发件数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本年废止件数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现行有效件数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规    章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行政规范性文件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7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第二十条第（五）项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信息内容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本年处理决定数量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行政许可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7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第二十条第（六）项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信息内容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本年处理决定数量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行政处罚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行政强制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7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第二十条第（八）项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信息内容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本年收费金额（单位：万元）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行政事业性收费</w:t>
            </w:r>
          </w:p>
        </w:tc>
        <w:tc>
          <w:tcPr>
            <w:tcW w:w="7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540"/>
        <w:ind w:right="0" w:left="0" w:firstLine="320"/>
        <w:jc w:val="both"/>
        <w:rPr>
          <w:rFonts w:ascii="仿宋_GB2312" w:hAnsi="仿宋_GB2312" w:cs="仿宋_GB2312" w:eastAsia="仿宋_GB2312"/>
          <w:color w:val="FF0000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三、收到和处理政府信息公开申请情况</w:t>
      </w:r>
    </w:p>
    <w:tbl>
      <w:tblPr/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543" w:hRule="auto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申请人情况</w:t>
            </w:r>
          </w:p>
        </w:tc>
      </w:tr>
      <w:tr>
        <w:trPr>
          <w:trHeight w:val="543" w:hRule="auto"/>
          <w:jc w:val="center"/>
        </w:trPr>
        <w:tc>
          <w:tcPr>
            <w:tcW w:w="4859" w:type="dxa"/>
            <w:gridSpan w:val="3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自然人</w:t>
            </w:r>
          </w:p>
        </w:tc>
        <w:tc>
          <w:tcPr>
            <w:tcW w:w="3400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法人或其他组织</w:t>
            </w:r>
          </w:p>
        </w:tc>
        <w:tc>
          <w:tcPr>
            <w:tcW w:w="6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总计</w:t>
            </w:r>
          </w:p>
        </w:tc>
      </w:tr>
      <w:tr>
        <w:trPr>
          <w:trHeight w:val="1598" w:hRule="auto"/>
          <w:jc w:val="center"/>
        </w:trPr>
        <w:tc>
          <w:tcPr>
            <w:tcW w:w="4859" w:type="dxa"/>
            <w:gridSpan w:val="3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商业</w:t>
            </w:r>
          </w:p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企业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科研</w:t>
            </w:r>
          </w:p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机构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社会公益组织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法律服务机构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</w:tc>
        <w:tc>
          <w:tcPr>
            <w:tcW w:w="6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3" w:hRule="auto"/>
          <w:jc w:val="center"/>
        </w:trPr>
        <w:tc>
          <w:tcPr>
            <w:tcW w:w="48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一、本年新收政府信息公开申请数量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48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二、上年结转政府信息公开申请数量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三、本年度办理结果</w:t>
            </w:r>
          </w:p>
        </w:tc>
        <w:tc>
          <w:tcPr>
            <w:tcW w:w="41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（一）予以公开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915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77"/>
              </w:numPr>
              <w:spacing w:before="0" w:after="0" w:line="5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部分公开（区分处理的，只计这一情形，不计其他情形）</w:t>
            </w:r>
          </w:p>
          <w:p>
            <w:pPr>
              <w:spacing w:before="0" w:after="0" w:line="5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540"/>
              <w:ind w:right="0" w:left="0" w:firstLine="2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（三）不予公开</w:t>
            </w: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1.属于国家秘密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1"/>
                <w:position w:val="0"/>
                <w:sz w:val="24"/>
                <w:shd w:fill="auto" w:val="clear"/>
              </w:rPr>
              <w:t xml:space="preserve">2.其他法律行政法规禁止公开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3.危及“三安全一稳定”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4.保护第三方合法权益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5.属于三类内部事务信息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6.属于四类过程性信息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7.属于行政执法案卷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8.属于行政查询事项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（四）无法提供</w:t>
            </w: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1.本机关不掌握相关政府信息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70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2.没有现成信息需要另行制作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3.补正后申请内容仍不明确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（五）不予处理</w:t>
            </w: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1.信访举报投诉类申请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2.重复申请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3.要求提供公开出版物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4.无正当理由大量反复申请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071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5.要求行政机关确认或重新出具已获取信息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598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（六）其他处理</w:t>
            </w: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598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3.其他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43" w:hRule="auto"/>
          <w:jc w:val="center"/>
        </w:trPr>
        <w:tc>
          <w:tcPr>
            <w:tcW w:w="73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（七）总计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58" w:hRule="auto"/>
          <w:jc w:val="center"/>
        </w:trPr>
        <w:tc>
          <w:tcPr>
            <w:tcW w:w="48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四、结转下年度继续办理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540"/>
        <w:ind w:right="0" w:left="0" w:firstLine="64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四、政府信息公开行政复议、行政诉讼情况</w:t>
      </w:r>
    </w:p>
    <w:tbl>
      <w:tblPr/>
      <w:tblGrid>
        <w:gridCol w:w="568"/>
        <w:gridCol w:w="568"/>
        <w:gridCol w:w="568"/>
        <w:gridCol w:w="568"/>
        <w:gridCol w:w="568"/>
        <w:gridCol w:w="829"/>
        <w:gridCol w:w="705"/>
        <w:gridCol w:w="825"/>
        <w:gridCol w:w="720"/>
        <w:gridCol w:w="405"/>
        <w:gridCol w:w="735"/>
        <w:gridCol w:w="750"/>
        <w:gridCol w:w="765"/>
        <w:gridCol w:w="780"/>
        <w:gridCol w:w="540"/>
      </w:tblGrid>
      <w:tr>
        <w:trPr>
          <w:trHeight w:val="1" w:hRule="atLeast"/>
          <w:jc w:val="left"/>
        </w:trPr>
        <w:tc>
          <w:tcPr>
            <w:tcW w:w="284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行政复议</w:t>
            </w:r>
          </w:p>
        </w:tc>
        <w:tc>
          <w:tcPr>
            <w:tcW w:w="7054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行政诉讼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结果维持</w:t>
            </w:r>
          </w:p>
        </w:tc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结果纠正</w:t>
            </w:r>
          </w:p>
        </w:tc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其他结果</w:t>
            </w:r>
          </w:p>
        </w:tc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尚未审结</w:t>
            </w:r>
          </w:p>
        </w:tc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总计</w:t>
            </w:r>
          </w:p>
        </w:tc>
        <w:tc>
          <w:tcPr>
            <w:tcW w:w="34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333333"/>
                <w:spacing w:val="0"/>
                <w:position w:val="0"/>
                <w:sz w:val="24"/>
                <w:shd w:fill="FFFFFF" w:val="clear"/>
              </w:rPr>
              <w:t xml:space="preserve">未经复议直接起诉</w:t>
            </w:r>
          </w:p>
        </w:tc>
        <w:tc>
          <w:tcPr>
            <w:tcW w:w="35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复议后起诉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结果维持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结果纠正</w:t>
            </w: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其他结果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尚未审结</w:t>
            </w:r>
          </w:p>
        </w:tc>
        <w:tc>
          <w:tcPr>
            <w:tcW w:w="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总计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结果维持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结果纠正</w:t>
            </w:r>
          </w:p>
        </w:tc>
        <w:tc>
          <w:tcPr>
            <w:tcW w:w="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其他结果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尚未审结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总计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640"/>
        <w:jc w:val="both"/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  <w:t xml:space="preserve">五、存在的主要问题及改进情况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虽然我局政务信息公开建设取得了一定成绩，目前也存在一定的不足需要改进，主要是社会救助、养老服务类信息还是不够，特别是民办养老院资助、政策类文件过少，这些有待于今后不断的完善。主要从以下方面作进一步改进和加强：一是坚持用习近平新时代中国特色社会主义思想武装头脑、指导实践，推动工作，把推进政府信息公开落实到民政工作的各项业务和各个环节中去，建立办事高效、运作协调、行为规范的管理体制，促进我县民政事业追赶超越高质量发展。二是进一步规范政务公开，在规定的政府信息公开范围内，及时发布和更新依法应主动公开的政府信息，并做好答复依申请公开政府信息工作;充分利用好政务公开平台，实现政务信息公开化，切实提高办事透明度，努力提高政府行政效能和公信力，为公众提供更加便利的服务。加强网络安全防控工作，积极关注和回应重大舆情信息。三是紧扣民政工作重点和社会关注的热点，继续办好民政政务公开平台。加大网上政务信息公开力度，拓展信息公开覆盖面，推动社会公众积极参与民政重大性决策、规范性文件合法性审查等事项。</w:t>
      </w:r>
    </w:p>
    <w:p>
      <w:pPr>
        <w:widowControl w:val="false"/>
        <w:spacing w:before="0" w:after="0" w:line="590"/>
        <w:ind w:right="0" w:left="0" w:firstLine="640"/>
        <w:jc w:val="both"/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  <w:t xml:space="preserve">六、其他需要报告的事项</w:t>
      </w:r>
    </w:p>
    <w:p>
      <w:pPr>
        <w:spacing w:before="0" w:after="0" w:line="590"/>
        <w:ind w:right="0" w:left="0" w:firstLine="6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1"/>
          <w:shd w:fill="FFFFFF" w:val="clear"/>
        </w:rPr>
        <w:t xml:space="preserve">已在信息公开指南中发布依申请公开收费标准，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1"/>
          <w:shd w:fill="FFFFFF" w:val="clear"/>
        </w:rPr>
        <w:t xml:space="preserve">2022</w:t>
      </w:r>
      <w:r>
        <w:rPr>
          <w:rFonts w:ascii="宋体" w:hAnsi="宋体" w:cs="宋体" w:eastAsia="宋体"/>
          <w:color w:val="000000"/>
          <w:spacing w:val="0"/>
          <w:position w:val="0"/>
          <w:sz w:val="31"/>
          <w:shd w:fill="FFFFFF" w:val="clear"/>
        </w:rPr>
        <w:t xml:space="preserve">年度无收取信息处理费情况。</w:t>
      </w:r>
    </w:p>
    <w:p>
      <w:pPr>
        <w:widowControl w:val="false"/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