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D7" w:rsidRDefault="00916FD7" w:rsidP="00916FD7">
      <w:pPr>
        <w:widowControl/>
        <w:spacing w:line="520" w:lineRule="exact"/>
        <w:jc w:val="left"/>
        <w:rPr>
          <w:rFonts w:ascii="仿宋" w:eastAsia="仿宋" w:hAnsi="仿宋" w:cs="仿宋"/>
          <w:spacing w:val="-23"/>
          <w:w w:val="9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916FD7" w:rsidRDefault="00916FD7" w:rsidP="00916FD7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全县各成员单位单项指标考核情况</w:t>
      </w:r>
    </w:p>
    <w:p w:rsidR="00916FD7" w:rsidRDefault="00916FD7" w:rsidP="00916FD7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916FD7" w:rsidRDefault="00916FD7" w:rsidP="00916FD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2022年11月份全县12345政府服务热线工作考核分值为</w:t>
      </w: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32"/>
          <w:szCs w:val="32"/>
        </w:rPr>
        <w:t>98.84</w:t>
      </w:r>
      <w:r>
        <w:rPr>
          <w:rFonts w:ascii="仿宋" w:eastAsia="仿宋" w:hAnsi="仿宋" w:cs="仿宋" w:hint="eastAsia"/>
          <w:sz w:val="32"/>
          <w:szCs w:val="32"/>
        </w:rPr>
        <w:t>分，现将全县各成员单位11月份扣分较严重的考核指标报告如下。</w:t>
      </w:r>
    </w:p>
    <w:p w:rsidR="00916FD7" w:rsidRDefault="00916FD7" w:rsidP="00916FD7">
      <w:pPr>
        <w:spacing w:line="52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一、全县处理工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单快速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办结率（≥80%达标）为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83.16%，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达标。</w:t>
      </w:r>
      <w:r>
        <w:rPr>
          <w:rFonts w:ascii="仿宋" w:eastAsia="仿宋" w:hAnsi="仿宋" w:cs="仿宋" w:hint="eastAsia"/>
          <w:sz w:val="32"/>
          <w:szCs w:val="32"/>
        </w:rPr>
        <w:t>全县办理工单的成员单位共有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44</w:t>
      </w:r>
      <w:r>
        <w:rPr>
          <w:rFonts w:ascii="仿宋" w:eastAsia="仿宋" w:hAnsi="仿宋" w:cs="仿宋" w:hint="eastAsia"/>
          <w:sz w:val="32"/>
          <w:szCs w:val="32"/>
        </w:rPr>
        <w:t>个，其中快速办结率不达标的成员单位有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个。一是快速办结率不达标的乡镇（场）有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个，分别为：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花桥乡（71.43%）、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棠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浦镇（71.43%）、同安乡（70.00%）、黄垦镇（66.67%）、石市镇（60.00%）、双峰林场（50.00%）、潭山镇（33.33%）、新庄镇（33.33%）；</w:t>
      </w:r>
      <w:r>
        <w:rPr>
          <w:rFonts w:ascii="仿宋" w:eastAsia="仿宋" w:hAnsi="仿宋" w:cs="仿宋" w:hint="eastAsia"/>
          <w:sz w:val="32"/>
          <w:szCs w:val="32"/>
        </w:rPr>
        <w:t>二是快速办结率不达标的县直单位有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个，分别为：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人社局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（78.95%）、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医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保局（75.00%）、工业园区管委会（73.91%）、住建局（72.15%）、自然资源局（66.67%）、交通运输局（66.67%）、民政局（66.67%）、城管局（64.29%）、生态环境局（50.00%）、商务局（33.33%）；</w:t>
      </w:r>
      <w:r>
        <w:rPr>
          <w:rFonts w:ascii="仿宋" w:eastAsia="仿宋" w:hAnsi="仿宋" w:cs="仿宋" w:hint="eastAsia"/>
          <w:sz w:val="32"/>
          <w:szCs w:val="32"/>
        </w:rPr>
        <w:t>三是工单量在全县排前5名且该项指标不达标的乡镇（场）为：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同安乡、石市镇；</w:t>
      </w:r>
      <w:r>
        <w:rPr>
          <w:rFonts w:ascii="仿宋" w:eastAsia="仿宋" w:hAnsi="仿宋" w:cs="仿宋" w:hint="eastAsia"/>
          <w:sz w:val="32"/>
          <w:szCs w:val="32"/>
        </w:rPr>
        <w:t>四是工单量在全县排前5名且该项指标不达标的县直单位为：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城管局、住建局。</w:t>
      </w:r>
    </w:p>
    <w:p w:rsidR="00916FD7" w:rsidRDefault="00916FD7" w:rsidP="00916FD7">
      <w:pPr>
        <w:spacing w:line="520" w:lineRule="exact"/>
        <w:ind w:firstLineChars="200" w:firstLine="640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全县工单满意占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比（[（非常满意+满意+一般满意）/评价数]≥90%达标）为72.85%，未达标。</w:t>
      </w:r>
      <w:r>
        <w:rPr>
          <w:rFonts w:ascii="仿宋" w:eastAsia="仿宋" w:hAnsi="仿宋" w:cs="仿宋" w:hint="eastAsia"/>
          <w:sz w:val="32"/>
          <w:szCs w:val="32"/>
        </w:rPr>
        <w:t>一是该项指标达标的乡镇（场）有4个，分别为：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天宝乡（100.00%）、黄垦镇（100.00%）、潭山镇（100.00%）、新庄镇（100.00%）、；</w:t>
      </w:r>
      <w:r>
        <w:rPr>
          <w:rFonts w:ascii="仿宋" w:eastAsia="仿宋" w:hAnsi="仿宋" w:cs="仿宋" w:hint="eastAsia"/>
          <w:sz w:val="32"/>
          <w:szCs w:val="32"/>
        </w:rPr>
        <w:t>二是该项指标达标的县直单位有12个，分别为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：公安局（100.00%）、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综投公司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（100.00%）、银龙水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务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（100.00%）、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农业农村局（100.00%）、工信局（100.00%）、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发改委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（100.00%）、</w:t>
      </w:r>
    </w:p>
    <w:p w:rsidR="00916FD7" w:rsidRDefault="00916FD7" w:rsidP="00D632DA">
      <w:pPr>
        <w:spacing w:line="52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供电公司（100.00%）、医保局（100.00%）、烟草局（100.00%）、自然资源局（100.00%）、商务局（100.00%）、人社局（92.31%）；</w:t>
      </w:r>
      <w:r>
        <w:rPr>
          <w:rFonts w:ascii="仿宋" w:eastAsia="仿宋" w:hAnsi="仿宋" w:cs="仿宋" w:hint="eastAsia"/>
          <w:sz w:val="32"/>
          <w:szCs w:val="32"/>
        </w:rPr>
        <w:t>三是工单量在全县排前5名且该项指标不达标的乡镇（场）分别为：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新昌镇、桥西乡、石市镇、同安乡、黄垦镇；</w:t>
      </w:r>
      <w:r>
        <w:rPr>
          <w:rFonts w:ascii="仿宋" w:eastAsia="仿宋" w:hAnsi="仿宋" w:cs="仿宋" w:hint="eastAsia"/>
          <w:sz w:val="32"/>
          <w:szCs w:val="32"/>
        </w:rPr>
        <w:t>四是工单量排前5名且该项指标不达标的县直单位分别为：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市监局、城管局、住建局、卫健委、交警大队。</w:t>
      </w:r>
    </w:p>
    <w:p w:rsidR="00916FD7" w:rsidRDefault="00916FD7" w:rsidP="00916FD7">
      <w:pPr>
        <w:tabs>
          <w:tab w:val="left" w:pos="705"/>
          <w:tab w:val="left" w:pos="7410"/>
        </w:tabs>
        <w:spacing w:line="50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三、全县共重派工单3件，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重派率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为0.46%，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新庄镇、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市监局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、烟草局各1件。</w:t>
      </w:r>
    </w:p>
    <w:p w:rsidR="00AC3F6B" w:rsidRDefault="00916FD7" w:rsidP="00916FD7">
      <w:r>
        <w:rPr>
          <w:rFonts w:ascii="黑体" w:eastAsia="黑体" w:hAnsi="黑体" w:cs="黑体" w:hint="eastAsia"/>
          <w:sz w:val="32"/>
          <w:szCs w:val="32"/>
        </w:rPr>
        <w:t>五、平台登录（≥20次达标）情况：</w:t>
      </w:r>
      <w:r>
        <w:rPr>
          <w:rFonts w:ascii="仿宋" w:eastAsia="仿宋" w:hAnsi="仿宋" w:cs="仿宋" w:hint="eastAsia"/>
          <w:sz w:val="32"/>
          <w:szCs w:val="32"/>
        </w:rPr>
        <w:t>未达标的成员单位分别为：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澄塘镇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、黄垦镇、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棠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浦镇、花桥乡、石花尖垦殖场、石市镇、车上林场、潭山镇、双峰林场、银龙水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务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、农业农村局、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教体局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、工信局、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发改委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、供电公司、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医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保局、工业园区管委会、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文旅局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、自然资源局、交通运输局、税务局、财政局、政府办、商务局。</w:t>
      </w:r>
    </w:p>
    <w:sectPr w:rsidR="00AC3F6B" w:rsidSect="00AC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FD7"/>
    <w:rsid w:val="00916FD7"/>
    <w:rsid w:val="00AC3F6B"/>
    <w:rsid w:val="00D6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2022-12-27T03:09:00Z</dcterms:created>
  <dcterms:modified xsi:type="dcterms:W3CDTF">2022-12-27T03:10:00Z</dcterms:modified>
</cp:coreProperties>
</file>