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680" w:lineRule="atLeas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ascii="方正小标宋简体" w:hAnsi="黑体" w:eastAsia="方正小标宋简体"/>
          <w:b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23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年宜丰县税收返还及转移支付预算情况说明</w:t>
      </w:r>
    </w:p>
    <w:p>
      <w:pPr>
        <w:snapToGrid w:val="0"/>
        <w:spacing w:line="680" w:lineRule="atLeas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一、一般公共预算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年我县一般性转移支付税收返还及转移支付补助收入列入预算</w:t>
      </w:r>
      <w:r>
        <w:rPr>
          <w:rFonts w:hint="eastAsia" w:ascii="宋体" w:hAnsi="宋体"/>
          <w:sz w:val="32"/>
          <w:szCs w:val="32"/>
          <w:lang w:val="en-US" w:eastAsia="zh-CN"/>
        </w:rPr>
        <w:t>118593</w:t>
      </w:r>
      <w:r>
        <w:rPr>
          <w:rFonts w:hint="eastAsia" w:ascii="宋体" w:hAnsi="宋体"/>
          <w:sz w:val="32"/>
          <w:szCs w:val="32"/>
        </w:rPr>
        <w:t>万元，具体情况如下：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、返还性收入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年税收返还预算数为</w:t>
      </w:r>
      <w:r>
        <w:rPr>
          <w:rFonts w:hint="eastAsia" w:ascii="宋体" w:hAnsi="宋体"/>
          <w:sz w:val="32"/>
          <w:szCs w:val="32"/>
          <w:lang w:val="en-US" w:eastAsia="zh-CN"/>
        </w:rPr>
        <w:t>18976</w:t>
      </w:r>
      <w:r>
        <w:rPr>
          <w:rFonts w:hint="eastAsia" w:ascii="宋体" w:hAnsi="宋体"/>
          <w:sz w:val="32"/>
          <w:szCs w:val="32"/>
        </w:rPr>
        <w:t>万元。其中：增值税税收返还1224万元，消费税税收返还42万元，所得税基数返还</w:t>
      </w:r>
      <w:r>
        <w:rPr>
          <w:rFonts w:ascii="宋体" w:hAnsi="宋体"/>
          <w:sz w:val="32"/>
          <w:szCs w:val="32"/>
        </w:rPr>
        <w:t>562</w:t>
      </w:r>
      <w:r>
        <w:rPr>
          <w:rFonts w:hint="eastAsia" w:ascii="宋体" w:hAnsi="宋体"/>
          <w:sz w:val="32"/>
          <w:szCs w:val="32"/>
        </w:rPr>
        <w:t>万元，成品油价格和税费改革税收返还</w:t>
      </w:r>
      <w:r>
        <w:rPr>
          <w:rFonts w:ascii="宋体" w:hAnsi="宋体"/>
          <w:sz w:val="32"/>
          <w:szCs w:val="32"/>
        </w:rPr>
        <w:t>299</w:t>
      </w:r>
      <w:r>
        <w:rPr>
          <w:rFonts w:hint="eastAsia" w:ascii="宋体" w:hAnsi="宋体"/>
          <w:sz w:val="32"/>
          <w:szCs w:val="32"/>
        </w:rPr>
        <w:t>万元，增值税五五分享税收返还收入46万元，其他税收返还收入</w:t>
      </w:r>
      <w:r>
        <w:rPr>
          <w:rFonts w:hint="eastAsia" w:ascii="宋体" w:hAnsi="宋体"/>
          <w:sz w:val="32"/>
          <w:szCs w:val="32"/>
          <w:lang w:val="en-US" w:eastAsia="zh-CN"/>
        </w:rPr>
        <w:t>16803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、一般性转移支付收入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年列入预算</w:t>
      </w:r>
      <w:r>
        <w:rPr>
          <w:rFonts w:hint="eastAsia" w:ascii="宋体" w:hAnsi="宋体"/>
          <w:sz w:val="32"/>
          <w:szCs w:val="32"/>
          <w:lang w:val="en-US" w:eastAsia="zh-CN"/>
        </w:rPr>
        <w:t>97500</w:t>
      </w:r>
      <w:r>
        <w:rPr>
          <w:rFonts w:hint="eastAsia" w:ascii="宋体" w:hAnsi="宋体"/>
          <w:sz w:val="32"/>
          <w:szCs w:val="32"/>
        </w:rPr>
        <w:t>万元。其中：均衡性转移支付</w:t>
      </w:r>
      <w:r>
        <w:rPr>
          <w:rFonts w:hint="eastAsia" w:ascii="宋体" w:hAnsi="宋体"/>
          <w:sz w:val="32"/>
          <w:szCs w:val="32"/>
          <w:lang w:val="en-US" w:eastAsia="zh-CN"/>
        </w:rPr>
        <w:t>34901</w:t>
      </w:r>
      <w:r>
        <w:rPr>
          <w:rFonts w:hint="eastAsia" w:ascii="宋体" w:hAnsi="宋体"/>
          <w:sz w:val="32"/>
          <w:szCs w:val="32"/>
        </w:rPr>
        <w:t>元，县级基本财力保障机制奖补资金</w:t>
      </w:r>
      <w:r>
        <w:rPr>
          <w:rFonts w:hint="eastAsia" w:ascii="宋体" w:hAnsi="宋体"/>
          <w:sz w:val="32"/>
          <w:szCs w:val="32"/>
          <w:lang w:val="en-US" w:eastAsia="zh-CN"/>
        </w:rPr>
        <w:t>19263</w:t>
      </w:r>
      <w:r>
        <w:rPr>
          <w:rFonts w:hint="eastAsia" w:ascii="宋体" w:hAnsi="宋体"/>
          <w:sz w:val="32"/>
          <w:szCs w:val="32"/>
        </w:rPr>
        <w:t>万元，结算补助</w:t>
      </w:r>
      <w:r>
        <w:rPr>
          <w:rFonts w:hint="eastAsia" w:ascii="宋体" w:hAnsi="宋体"/>
          <w:sz w:val="32"/>
          <w:szCs w:val="32"/>
          <w:lang w:val="en-US" w:eastAsia="zh-CN"/>
        </w:rPr>
        <w:t>222</w:t>
      </w:r>
      <w:r>
        <w:rPr>
          <w:rFonts w:hint="eastAsia" w:ascii="宋体" w:hAnsi="宋体"/>
          <w:sz w:val="32"/>
          <w:szCs w:val="32"/>
        </w:rPr>
        <w:t>万元，资源枯竭型城市转移支付补助收入</w:t>
      </w:r>
      <w:r>
        <w:rPr>
          <w:rFonts w:hint="eastAsia" w:ascii="宋体" w:hAnsi="宋体"/>
          <w:sz w:val="32"/>
          <w:szCs w:val="32"/>
          <w:lang w:val="en-US" w:eastAsia="zh-CN"/>
        </w:rPr>
        <w:t>1554</w:t>
      </w:r>
      <w:r>
        <w:rPr>
          <w:rFonts w:hint="eastAsia" w:ascii="宋体" w:hAnsi="宋体"/>
          <w:sz w:val="32"/>
          <w:szCs w:val="32"/>
        </w:rPr>
        <w:t>万元，重点生态功能区转移支付</w:t>
      </w:r>
      <w:r>
        <w:rPr>
          <w:rFonts w:hint="eastAsia" w:ascii="宋体" w:hAnsi="宋体"/>
          <w:sz w:val="32"/>
          <w:szCs w:val="32"/>
          <w:lang w:val="en-US" w:eastAsia="zh-CN"/>
        </w:rPr>
        <w:t>1901</w:t>
      </w:r>
      <w:r>
        <w:rPr>
          <w:rFonts w:hint="eastAsia" w:ascii="宋体" w:hAnsi="宋体"/>
          <w:sz w:val="32"/>
          <w:szCs w:val="32"/>
        </w:rPr>
        <w:t>万元，固定数额补助</w:t>
      </w:r>
      <w:r>
        <w:rPr>
          <w:rFonts w:hint="eastAsia" w:ascii="宋体" w:hAnsi="宋体"/>
          <w:sz w:val="32"/>
          <w:szCs w:val="32"/>
          <w:lang w:val="en-US" w:eastAsia="zh-CN"/>
        </w:rPr>
        <w:t>16607</w:t>
      </w:r>
      <w:r>
        <w:rPr>
          <w:rFonts w:hint="eastAsia" w:ascii="宋体" w:hAnsi="宋体"/>
          <w:sz w:val="32"/>
          <w:szCs w:val="32"/>
        </w:rPr>
        <w:t>万元，革命老区转移支付收入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1644</w:t>
      </w:r>
      <w:r>
        <w:rPr>
          <w:rFonts w:hint="eastAsia" w:ascii="宋体" w:hAnsi="宋体"/>
          <w:sz w:val="32"/>
          <w:szCs w:val="32"/>
        </w:rPr>
        <w:t>万元，贫困地区转移支付收入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3269</w:t>
      </w:r>
      <w:r>
        <w:rPr>
          <w:rFonts w:hint="eastAsia" w:ascii="宋体" w:hAnsi="宋体"/>
          <w:sz w:val="32"/>
          <w:szCs w:val="32"/>
        </w:rPr>
        <w:t>万元，公共安全共同财政事权转移支付收入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263</w:t>
      </w:r>
      <w:r>
        <w:rPr>
          <w:rFonts w:hint="eastAsia" w:ascii="宋体" w:hAnsi="宋体"/>
          <w:sz w:val="32"/>
          <w:szCs w:val="32"/>
        </w:rPr>
        <w:t>万元，教育共同财政事权转移支付收入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3749</w:t>
      </w:r>
      <w:r>
        <w:rPr>
          <w:rFonts w:hint="eastAsia" w:ascii="宋体" w:hAnsi="宋体"/>
          <w:sz w:val="32"/>
          <w:szCs w:val="32"/>
        </w:rPr>
        <w:t>万元，社会保障和就业共同财政事权转移支付收入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3342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eastAsia="zh-CN"/>
        </w:rPr>
        <w:t>医疗卫生</w:t>
      </w:r>
      <w:r>
        <w:rPr>
          <w:rFonts w:hint="eastAsia" w:ascii="宋体" w:hAnsi="宋体"/>
          <w:sz w:val="32"/>
          <w:szCs w:val="32"/>
        </w:rPr>
        <w:t>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831</w:t>
      </w:r>
      <w:r>
        <w:rPr>
          <w:rFonts w:hint="eastAsia" w:ascii="宋体" w:hAnsi="宋体"/>
          <w:sz w:val="32"/>
          <w:szCs w:val="32"/>
        </w:rPr>
        <w:t>万元，农林水共同财政事权转移支付收入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8353万元，</w:t>
      </w:r>
      <w:r>
        <w:rPr>
          <w:rFonts w:hint="eastAsia" w:ascii="宋体" w:hAnsi="宋体"/>
          <w:sz w:val="32"/>
          <w:szCs w:val="32"/>
        </w:rPr>
        <w:t>住房保障共同财政事权转移支付收入</w:t>
      </w:r>
      <w:r>
        <w:rPr>
          <w:rFonts w:hint="eastAsia" w:ascii="宋体" w:hAnsi="宋体"/>
          <w:sz w:val="32"/>
          <w:szCs w:val="32"/>
          <w:lang w:val="en-US" w:eastAsia="zh-CN"/>
        </w:rPr>
        <w:t>1601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、专项转移支付收入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年专项转移支付补助列入预算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2117</w:t>
      </w:r>
      <w:r>
        <w:rPr>
          <w:rFonts w:hint="eastAsia" w:ascii="宋体" w:hAnsi="宋体"/>
          <w:sz w:val="32"/>
          <w:szCs w:val="32"/>
        </w:rPr>
        <w:t>万元。其中：一般公共服务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，公共安全</w:t>
      </w:r>
      <w:r>
        <w:rPr>
          <w:rFonts w:hint="eastAsia" w:ascii="宋体" w:hAnsi="宋体"/>
          <w:sz w:val="32"/>
          <w:szCs w:val="32"/>
          <w:lang w:val="en-US" w:eastAsia="zh-CN"/>
        </w:rPr>
        <w:t>2万元，</w:t>
      </w:r>
      <w:r>
        <w:rPr>
          <w:rFonts w:hint="eastAsia" w:ascii="宋体" w:hAnsi="宋体"/>
          <w:sz w:val="32"/>
          <w:szCs w:val="32"/>
        </w:rPr>
        <w:t>社会保障和就业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农林水</w:t>
      </w:r>
      <w:r>
        <w:rPr>
          <w:rFonts w:hint="eastAsia" w:ascii="宋体" w:hAnsi="宋体"/>
          <w:sz w:val="32"/>
          <w:szCs w:val="32"/>
          <w:lang w:val="en-US" w:eastAsia="zh-CN"/>
        </w:rPr>
        <w:t>1566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，灾害防治及应急管理</w:t>
      </w:r>
      <w:r>
        <w:rPr>
          <w:rFonts w:hint="eastAsia" w:ascii="宋体" w:hAnsi="宋体"/>
          <w:sz w:val="32"/>
          <w:szCs w:val="32"/>
          <w:lang w:val="en-US" w:eastAsia="zh-CN"/>
        </w:rPr>
        <w:t>538万元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napToGrid w:val="0"/>
        <w:spacing w:line="6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二、政府性基金补助收入</w:t>
      </w:r>
    </w:p>
    <w:p>
      <w:pPr>
        <w:snapToGrid w:val="0"/>
        <w:spacing w:line="68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年上级提前告知政府性基金补助列入预算</w:t>
      </w:r>
      <w:r>
        <w:rPr>
          <w:rFonts w:hint="eastAsia" w:ascii="宋体" w:hAnsi="宋体"/>
          <w:sz w:val="32"/>
          <w:szCs w:val="32"/>
          <w:lang w:val="en-US" w:eastAsia="zh-CN"/>
        </w:rPr>
        <w:t>2529</w:t>
      </w:r>
      <w:r>
        <w:rPr>
          <w:rFonts w:hint="eastAsia" w:ascii="宋体" w:hAnsi="宋体"/>
          <w:sz w:val="32"/>
          <w:szCs w:val="32"/>
        </w:rPr>
        <w:t>万元。其中：大中型水库移民后期扶持基金</w:t>
      </w:r>
      <w:r>
        <w:rPr>
          <w:rFonts w:hint="eastAsia" w:ascii="宋体" w:hAnsi="宋体"/>
          <w:sz w:val="32"/>
          <w:szCs w:val="32"/>
          <w:lang w:val="en-US" w:eastAsia="zh-CN"/>
        </w:rPr>
        <w:t>1425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国有土地使用权出让收入</w:t>
      </w:r>
      <w:r>
        <w:rPr>
          <w:rFonts w:hint="eastAsia" w:ascii="宋体" w:hAnsi="宋体"/>
          <w:sz w:val="32"/>
          <w:szCs w:val="32"/>
          <w:lang w:val="en-US" w:eastAsia="zh-CN"/>
        </w:rPr>
        <w:t>763万元，</w:t>
      </w:r>
      <w:r>
        <w:rPr>
          <w:rFonts w:hint="eastAsia" w:ascii="宋体" w:hAnsi="宋体"/>
          <w:sz w:val="32"/>
          <w:szCs w:val="32"/>
        </w:rPr>
        <w:t>国家重大水利工程建设基金</w:t>
      </w:r>
      <w:r>
        <w:rPr>
          <w:rFonts w:hint="eastAsia" w:ascii="宋体" w:hAnsi="宋体"/>
          <w:sz w:val="32"/>
          <w:szCs w:val="32"/>
          <w:lang w:val="en-US" w:eastAsia="zh-CN"/>
        </w:rPr>
        <w:t>341万元</w:t>
      </w:r>
      <w:r>
        <w:rPr>
          <w:rFonts w:hint="eastAsia" w:ascii="宋体" w:hAnsi="宋体"/>
          <w:sz w:val="32"/>
          <w:szCs w:val="32"/>
        </w:rPr>
        <w:t>。</w:t>
      </w:r>
    </w:p>
    <w:sectPr>
      <w:pgSz w:w="11906" w:h="16838"/>
      <w:pgMar w:top="1440" w:right="1644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DC3"/>
    <w:rsid w:val="001216AF"/>
    <w:rsid w:val="001623F1"/>
    <w:rsid w:val="001C6CC0"/>
    <w:rsid w:val="001E6717"/>
    <w:rsid w:val="001F501C"/>
    <w:rsid w:val="001F658D"/>
    <w:rsid w:val="00202747"/>
    <w:rsid w:val="00204760"/>
    <w:rsid w:val="002914BF"/>
    <w:rsid w:val="002A6BF0"/>
    <w:rsid w:val="00323B43"/>
    <w:rsid w:val="00340779"/>
    <w:rsid w:val="00350BA9"/>
    <w:rsid w:val="003856B7"/>
    <w:rsid w:val="003D37D8"/>
    <w:rsid w:val="0040640B"/>
    <w:rsid w:val="00411083"/>
    <w:rsid w:val="00415602"/>
    <w:rsid w:val="00426133"/>
    <w:rsid w:val="004358AB"/>
    <w:rsid w:val="00481CC9"/>
    <w:rsid w:val="004B3C91"/>
    <w:rsid w:val="00550225"/>
    <w:rsid w:val="005B45BB"/>
    <w:rsid w:val="006106E6"/>
    <w:rsid w:val="00625B26"/>
    <w:rsid w:val="006462F5"/>
    <w:rsid w:val="00657466"/>
    <w:rsid w:val="006663BA"/>
    <w:rsid w:val="006861E5"/>
    <w:rsid w:val="00697881"/>
    <w:rsid w:val="006C7ED0"/>
    <w:rsid w:val="00771515"/>
    <w:rsid w:val="00803786"/>
    <w:rsid w:val="008B7726"/>
    <w:rsid w:val="008D312A"/>
    <w:rsid w:val="00990D26"/>
    <w:rsid w:val="009939FF"/>
    <w:rsid w:val="00A8339F"/>
    <w:rsid w:val="00A83D3C"/>
    <w:rsid w:val="00A93EDE"/>
    <w:rsid w:val="00A969E7"/>
    <w:rsid w:val="00AE470D"/>
    <w:rsid w:val="00B438E0"/>
    <w:rsid w:val="00B77514"/>
    <w:rsid w:val="00B815B1"/>
    <w:rsid w:val="00C167F2"/>
    <w:rsid w:val="00C412D1"/>
    <w:rsid w:val="00C658B1"/>
    <w:rsid w:val="00C74CBA"/>
    <w:rsid w:val="00D31D50"/>
    <w:rsid w:val="00D43065"/>
    <w:rsid w:val="00D608FE"/>
    <w:rsid w:val="00DD17DD"/>
    <w:rsid w:val="00E87944"/>
    <w:rsid w:val="00E92A2B"/>
    <w:rsid w:val="00ED7605"/>
    <w:rsid w:val="00F366F0"/>
    <w:rsid w:val="00FE393F"/>
    <w:rsid w:val="00FF2504"/>
    <w:rsid w:val="00FF6C43"/>
    <w:rsid w:val="036251B8"/>
    <w:rsid w:val="03B15BD3"/>
    <w:rsid w:val="046676A4"/>
    <w:rsid w:val="05646EE2"/>
    <w:rsid w:val="09306112"/>
    <w:rsid w:val="13F219AC"/>
    <w:rsid w:val="14A23720"/>
    <w:rsid w:val="16200C03"/>
    <w:rsid w:val="177C2645"/>
    <w:rsid w:val="19061740"/>
    <w:rsid w:val="197866DC"/>
    <w:rsid w:val="1A600732"/>
    <w:rsid w:val="1BFB6550"/>
    <w:rsid w:val="1C034F86"/>
    <w:rsid w:val="1FCC517D"/>
    <w:rsid w:val="1FFF4E1A"/>
    <w:rsid w:val="21BD43A1"/>
    <w:rsid w:val="22F60B86"/>
    <w:rsid w:val="23A70FAB"/>
    <w:rsid w:val="244E29FC"/>
    <w:rsid w:val="28E754A8"/>
    <w:rsid w:val="298A4BA2"/>
    <w:rsid w:val="2CC44394"/>
    <w:rsid w:val="3117057B"/>
    <w:rsid w:val="3A804BF8"/>
    <w:rsid w:val="3C4871CF"/>
    <w:rsid w:val="3D933200"/>
    <w:rsid w:val="432B0BD6"/>
    <w:rsid w:val="44312520"/>
    <w:rsid w:val="476A52FE"/>
    <w:rsid w:val="47890CF6"/>
    <w:rsid w:val="4979548A"/>
    <w:rsid w:val="4CA5326A"/>
    <w:rsid w:val="4FEE6A3A"/>
    <w:rsid w:val="594C6FA4"/>
    <w:rsid w:val="5B9C7D9F"/>
    <w:rsid w:val="5D6B6289"/>
    <w:rsid w:val="5E0F6B56"/>
    <w:rsid w:val="5FD401E1"/>
    <w:rsid w:val="63E06586"/>
    <w:rsid w:val="64361115"/>
    <w:rsid w:val="68721C0E"/>
    <w:rsid w:val="6B5255C2"/>
    <w:rsid w:val="6B745167"/>
    <w:rsid w:val="6D230D76"/>
    <w:rsid w:val="6E9470DD"/>
    <w:rsid w:val="6F9C0396"/>
    <w:rsid w:val="72466A75"/>
    <w:rsid w:val="763A789D"/>
    <w:rsid w:val="76E16F0A"/>
    <w:rsid w:val="79E81E30"/>
    <w:rsid w:val="7B517E92"/>
    <w:rsid w:val="7BB836ED"/>
    <w:rsid w:val="7D460A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ScaleCrop>false</ScaleCrop>
  <LinksUpToDate>false</LinksUpToDate>
  <CharactersWithSpaces>888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2016-12-06T02:23:00Z</cp:lastPrinted>
  <dcterms:modified xsi:type="dcterms:W3CDTF">2023-03-09T08:10:45Z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